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E165" w14:textId="77777777" w:rsidR="00F36486" w:rsidRDefault="00B06581">
      <w:r>
        <w:rPr>
          <w:noProof/>
          <w:lang w:eastAsia="es-ES"/>
        </w:rPr>
        <w:drawing>
          <wp:inline distT="0" distB="0" distL="0" distR="0" wp14:anchorId="0D40B302" wp14:editId="062011C5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AE38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439F5B9B" w14:textId="445009C8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BE1E8D">
        <w:rPr>
          <w:rFonts w:ascii="Times New Roman" w:hAnsi="Times New Roman" w:cs="Times New Roman"/>
        </w:rPr>
        <w:t xml:space="preserve"> Antonio Figueras y Marta Sendra</w:t>
      </w:r>
    </w:p>
    <w:p w14:paraId="538A2B2A" w14:textId="367DD898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BE1E8D">
        <w:rPr>
          <w:rFonts w:ascii="Times New Roman" w:hAnsi="Times New Roman" w:cs="Times New Roman"/>
        </w:rPr>
        <w:t xml:space="preserve"> </w:t>
      </w:r>
      <w:hyperlink r:id="rId5" w:history="1">
        <w:r w:rsidR="00BE1E8D" w:rsidRPr="00D25589">
          <w:rPr>
            <w:rStyle w:val="Hipervnculo"/>
            <w:rFonts w:ascii="Times New Roman" w:hAnsi="Times New Roman" w:cs="Times New Roman"/>
          </w:rPr>
          <w:t>antoniofigueras@iim.csic.es</w:t>
        </w:r>
      </w:hyperlink>
      <w:r w:rsidR="00BE1E8D">
        <w:rPr>
          <w:rFonts w:ascii="Times New Roman" w:hAnsi="Times New Roman" w:cs="Times New Roman"/>
        </w:rPr>
        <w:t xml:space="preserve">   marta.sendra@nib.si</w:t>
      </w:r>
    </w:p>
    <w:p w14:paraId="76A6CCA3" w14:textId="5BD04536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BE1E8D">
        <w:rPr>
          <w:rFonts w:ascii="Times New Roman" w:hAnsi="Times New Roman" w:cs="Times New Roman"/>
        </w:rPr>
        <w:t xml:space="preserve"> Instituto de Investigaciones Marinas (IIM-CSIC)</w:t>
      </w:r>
    </w:p>
    <w:p w14:paraId="78057602" w14:textId="69998025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BE1E8D" w:rsidRPr="00BE1E8D">
        <w:rPr>
          <w:rFonts w:ascii="Times New Roman" w:hAnsi="Times New Roman" w:cs="Times New Roman"/>
        </w:rPr>
        <w:t xml:space="preserve">Del envejecimiento plástico a la disbiosis: efectos de </w:t>
      </w:r>
      <w:proofErr w:type="spellStart"/>
      <w:r w:rsidR="00BE1E8D" w:rsidRPr="00BE1E8D">
        <w:rPr>
          <w:rFonts w:ascii="Times New Roman" w:hAnsi="Times New Roman" w:cs="Times New Roman"/>
        </w:rPr>
        <w:t>nanoplásticos</w:t>
      </w:r>
      <w:proofErr w:type="spellEnd"/>
      <w:r w:rsidR="00BE1E8D" w:rsidRPr="00BE1E8D">
        <w:rPr>
          <w:rFonts w:ascii="Times New Roman" w:hAnsi="Times New Roman" w:cs="Times New Roman"/>
        </w:rPr>
        <w:t xml:space="preserve"> &gt;30 años en el microbioma de </w:t>
      </w:r>
      <w:proofErr w:type="spellStart"/>
      <w:r w:rsidR="00BE1E8D" w:rsidRPr="00BE1E8D">
        <w:rPr>
          <w:rFonts w:ascii="Times New Roman" w:hAnsi="Times New Roman" w:cs="Times New Roman"/>
          <w:i/>
          <w:iCs/>
        </w:rPr>
        <w:t>Mytilus</w:t>
      </w:r>
      <w:proofErr w:type="spellEnd"/>
      <w:r w:rsidR="00BE1E8D" w:rsidRPr="00BE1E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E1E8D" w:rsidRPr="00BE1E8D">
        <w:rPr>
          <w:rFonts w:ascii="Times New Roman" w:hAnsi="Times New Roman" w:cs="Times New Roman"/>
          <w:i/>
          <w:iCs/>
        </w:rPr>
        <w:t>galloprovincialis</w:t>
      </w:r>
      <w:proofErr w:type="spellEnd"/>
    </w:p>
    <w:p w14:paraId="048D210B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35394F48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7567555" wp14:editId="376EE1E8">
                <wp:extent cx="6140450" cy="1419225"/>
                <wp:effectExtent l="0" t="0" r="12700" b="28575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5F09" w14:textId="1EC4305B" w:rsidR="00A3560F" w:rsidRPr="00A3560F" w:rsidRDefault="00BE1E8D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E1E8D">
                              <w:rPr>
                                <w:rFonts w:ascii="Times New Roman" w:hAnsi="Times New Roman"/>
                              </w:rPr>
                              <w:t>El mejillón mediterráneo (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Mytilus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galloprovincialis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>) es un centinela clave de contaminación. Este TFM eval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uará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cómo se reconfigura su microbioma ante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generados a partir de plásticos ambientales recogidos en la costa española, identificados como envases descatalogados desde 1970–1985 y, por tanto, con envejecimiento marino prolongado. Proponemos que estos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, por su historia de degradación y carga de aditivos, son más reactivos que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polímeros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comerciales de referencia. Compararemos este escenario realista con controles y con polímeros de referencia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 tamaño nanométrico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. La novedad radica en usar plásticos ambientales envejecidos y centrarnos en </w:t>
                            </w:r>
                            <w:proofErr w:type="spellStart"/>
                            <w:proofErr w:type="gramStart"/>
                            <w:r w:rsidRPr="00BE1E8D"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,</w:t>
                            </w:r>
                            <w:proofErr w:type="gram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más biodisponibles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 reactivos que los microplásticos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675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">
                <v:textbox>
                  <w:txbxContent>
                    <w:p w14:paraId="05B85F09" w14:textId="1EC4305B" w:rsidR="00A3560F" w:rsidRPr="00A3560F" w:rsidRDefault="00BE1E8D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E1E8D">
                        <w:rPr>
                          <w:rFonts w:ascii="Times New Roman" w:hAnsi="Times New Roman"/>
                        </w:rPr>
                        <w:t>El mejillón mediterráneo (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  <w:i/>
                          <w:iCs/>
                        </w:rPr>
                        <w:t>Mytilus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  <w:i/>
                          <w:iCs/>
                        </w:rPr>
                        <w:t>galloprovincialis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>) es un centinela clave de contaminación. Este TFM eval</w:t>
                      </w:r>
                      <w:r>
                        <w:rPr>
                          <w:rFonts w:ascii="Times New Roman" w:hAnsi="Times New Roman"/>
                        </w:rPr>
                        <w:t>uará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 cómo se reconfigura su microbioma ante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 generados a partir de plásticos ambientales recogidos en la costa española, identificados como envases descatalogados desde 1970–1985 y, por tanto, con envejecimiento marino prolongado. Proponemos que estos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, por su historia de degradación y carga de aditivos, son más reactivos que </w:t>
                      </w:r>
                      <w:r>
                        <w:rPr>
                          <w:rFonts w:ascii="Times New Roman" w:hAnsi="Times New Roman"/>
                        </w:rPr>
                        <w:t>polímeros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 comerciales de referencia. Compararemos este escenario realista con controles y con polímeros de referencia </w:t>
                      </w:r>
                      <w:r>
                        <w:rPr>
                          <w:rFonts w:ascii="Times New Roman" w:hAnsi="Times New Roman"/>
                        </w:rPr>
                        <w:t>de tamaño nanométrico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. La novedad radica en usar plásticos ambientales envejecidos y centrarnos en </w:t>
                      </w:r>
                      <w:proofErr w:type="spellStart"/>
                      <w:proofErr w:type="gramStart"/>
                      <w:r w:rsidRPr="00BE1E8D"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 ,</w:t>
                      </w:r>
                      <w:proofErr w:type="gramEnd"/>
                      <w:r w:rsidRPr="00BE1E8D">
                        <w:rPr>
                          <w:rFonts w:ascii="Times New Roman" w:hAnsi="Times New Roman"/>
                        </w:rPr>
                        <w:t xml:space="preserve"> más biodisponibles </w:t>
                      </w:r>
                      <w:r>
                        <w:rPr>
                          <w:rFonts w:ascii="Times New Roman" w:hAnsi="Times New Roman"/>
                        </w:rPr>
                        <w:t>y reactivos que los microplásticos</w:t>
                      </w:r>
                      <w:r w:rsidRPr="00BE1E8D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33E0B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22C35" wp14:editId="1A4504E3">
                <wp:simplePos x="0" y="0"/>
                <wp:positionH relativeFrom="column">
                  <wp:posOffset>-15240</wp:posOffset>
                </wp:positionH>
                <wp:positionV relativeFrom="paragraph">
                  <wp:posOffset>283210</wp:posOffset>
                </wp:positionV>
                <wp:extent cx="6140450" cy="1438275"/>
                <wp:effectExtent l="0" t="0" r="1270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51ED" w14:textId="77777777" w:rsidR="00BE1E8D" w:rsidRDefault="00BE1E8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) Generación controlada de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</w:rPr>
                              <w:t>nanoplásticos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y caracterización fisicoquímica (tamaño, ζ, química superficial,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</w:rPr>
                              <w:t>lixiviables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tanto para los plásticos ambientales como para los materiales de referencia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14:paraId="6A70EA1E" w14:textId="68AE6EED" w:rsidR="00BE1E8D" w:rsidRDefault="00BE1E8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) Exposición de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Mytilus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galloprovincialis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 bajo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 escenario ambientalmente relevante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14:paraId="19615B22" w14:textId="77777777" w:rsidR="00BE1E8D" w:rsidRDefault="00BE1E8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>) Muestreo de microbioma (tracto digestivo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y branquias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), extracción de ADN y 16S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</w:rPr>
                              <w:t>rRNA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14:paraId="332B8F8B" w14:textId="77777777" w:rsidR="00BE1E8D" w:rsidRDefault="00BE1E8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) Análisis bioinformático y estadístico (diversidad, redes, funciones predictivas) y correlación con rasgos de partículas. </w:t>
                            </w:r>
                          </w:p>
                          <w:p w14:paraId="7860A0EA" w14:textId="77777777" w:rsidR="00BE1E8D" w:rsidRDefault="00BE1E8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) Validación por </w:t>
                            </w:r>
                            <w:proofErr w:type="spellStart"/>
                            <w:r w:rsidRPr="00BE1E8D">
                              <w:rPr>
                                <w:rFonts w:ascii="Times New Roman" w:hAnsi="Times New Roman"/>
                              </w:rPr>
                              <w:t>qPCR</w:t>
                            </w:r>
                            <w:proofErr w:type="spellEnd"/>
                            <w:r w:rsidRPr="00BE1E8D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14:paraId="02BA9B03" w14:textId="71F91279" w:rsidR="00903642" w:rsidRPr="00A3560F" w:rsidRDefault="00BE1E8D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>) Redacción, figuras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 discusión y comunicación de resultados</w:t>
                            </w:r>
                            <w:r w:rsidRPr="00BE1E8D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2C35" id="_x0000_s1027" type="#_x0000_t202" style="position:absolute;margin-left:-1.2pt;margin-top:22.3pt;width:483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">
                <v:textbox>
                  <w:txbxContent>
                    <w:p w14:paraId="075851ED" w14:textId="77777777" w:rsidR="00BE1E8D" w:rsidRDefault="00BE1E8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) Generación controlada de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</w:rPr>
                        <w:t>nanoplásticos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 y caracterización fisicoquímica (tamaño, ζ, química superficial,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</w:rPr>
                        <w:t>lixiviables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>)</w:t>
                      </w:r>
                      <w:r>
                        <w:rPr>
                          <w:rFonts w:ascii="Times New Roman" w:hAnsi="Times New Roman"/>
                        </w:rPr>
                        <w:t xml:space="preserve"> tanto para los plásticos ambientales como para los materiales de referencia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14:paraId="6A70EA1E" w14:textId="68AE6EED" w:rsidR="00BE1E8D" w:rsidRDefault="00BE1E8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) Exposición de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  <w:i/>
                          <w:iCs/>
                        </w:rPr>
                        <w:t>Mytilus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  <w:i/>
                          <w:iCs/>
                        </w:rPr>
                        <w:t>galloprovincialis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 bajo </w:t>
                      </w:r>
                      <w:r>
                        <w:rPr>
                          <w:rFonts w:ascii="Times New Roman" w:hAnsi="Times New Roman"/>
                        </w:rPr>
                        <w:t>un escenario ambientalmente relevante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14:paraId="19615B22" w14:textId="77777777" w:rsidR="00BE1E8D" w:rsidRDefault="00BE1E8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Pr="00BE1E8D">
                        <w:rPr>
                          <w:rFonts w:ascii="Times New Roman" w:hAnsi="Times New Roman"/>
                        </w:rPr>
                        <w:t>) Muestreo de microbioma (tracto digestivo</w:t>
                      </w:r>
                      <w:r>
                        <w:rPr>
                          <w:rFonts w:ascii="Times New Roman" w:hAnsi="Times New Roman"/>
                        </w:rPr>
                        <w:t xml:space="preserve"> y branquias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), extracción de ADN y 16S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</w:rPr>
                        <w:t>rRNA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14:paraId="332B8F8B" w14:textId="77777777" w:rsidR="00BE1E8D" w:rsidRDefault="00BE1E8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) Análisis bioinformático y estadístico (diversidad, redes, funciones predictivas) y correlación con rasgos de partículas. </w:t>
                      </w:r>
                    </w:p>
                    <w:p w14:paraId="7860A0EA" w14:textId="77777777" w:rsidR="00BE1E8D" w:rsidRDefault="00BE1E8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  <w:r w:rsidRPr="00BE1E8D">
                        <w:rPr>
                          <w:rFonts w:ascii="Times New Roman" w:hAnsi="Times New Roman"/>
                        </w:rPr>
                        <w:t xml:space="preserve">) Validación por </w:t>
                      </w:r>
                      <w:proofErr w:type="spellStart"/>
                      <w:r w:rsidRPr="00BE1E8D">
                        <w:rPr>
                          <w:rFonts w:ascii="Times New Roman" w:hAnsi="Times New Roman"/>
                        </w:rPr>
                        <w:t>qPCR</w:t>
                      </w:r>
                      <w:proofErr w:type="spellEnd"/>
                      <w:r w:rsidRPr="00BE1E8D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14:paraId="02BA9B03" w14:textId="71F91279" w:rsidR="00903642" w:rsidRPr="00A3560F" w:rsidRDefault="00BE1E8D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BE1E8D">
                        <w:rPr>
                          <w:rFonts w:ascii="Times New Roman" w:hAnsi="Times New Roman"/>
                        </w:rPr>
                        <w:t>) Redacción, figuras</w:t>
                      </w:r>
                      <w:r>
                        <w:rPr>
                          <w:rFonts w:ascii="Times New Roman" w:hAnsi="Times New Roman"/>
                        </w:rPr>
                        <w:t>, discusión y comunicación de resultados</w:t>
                      </w:r>
                      <w:r w:rsidRPr="00BE1E8D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7B90115F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60F76092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B06581"/>
    <w:rsid w:val="000D459C"/>
    <w:rsid w:val="0033129E"/>
    <w:rsid w:val="00692E7F"/>
    <w:rsid w:val="00843FF1"/>
    <w:rsid w:val="00903642"/>
    <w:rsid w:val="00A02126"/>
    <w:rsid w:val="00A3560F"/>
    <w:rsid w:val="00B06581"/>
    <w:rsid w:val="00BE1E8D"/>
    <w:rsid w:val="00C33F38"/>
    <w:rsid w:val="00E41160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61093"/>
  <w15:docId w15:val="{11551485-BC3C-4C71-8E63-FD3A969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1E8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figueras@iim.csic.es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Marta Sendra Vega</cp:lastModifiedBy>
  <cp:revision>2</cp:revision>
  <dcterms:created xsi:type="dcterms:W3CDTF">2025-10-16T07:51:00Z</dcterms:created>
  <dcterms:modified xsi:type="dcterms:W3CDTF">2025-10-16T07:51:00Z</dcterms:modified>
</cp:coreProperties>
</file>